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tLeast"/>
        <w:jc w:val="center"/>
        <w:rPr>
          <w:rFonts w:ascii="宋体" w:hAnsi="宋体" w:eastAsia="宋体" w:cs="宋体"/>
          <w:b/>
          <w:bCs/>
          <w:color w:val="000000"/>
          <w:kern w:val="0"/>
          <w:sz w:val="36"/>
          <w:szCs w:val="36"/>
        </w:rPr>
      </w:pPr>
    </w:p>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b/>
          <w:bCs/>
          <w:color w:val="000000"/>
          <w:kern w:val="0"/>
          <w:sz w:val="36"/>
          <w:szCs w:val="36"/>
        </w:rPr>
        <w:t>2019年嘉定镇街道政府信息公开工作年度报告</w:t>
      </w:r>
    </w:p>
    <w:p>
      <w:pPr>
        <w:widowControl/>
        <w:spacing w:line="560" w:lineRule="exact"/>
        <w:ind w:firstLine="480"/>
        <w:rPr>
          <w:rFonts w:ascii="宋体" w:hAnsi="宋体" w:eastAsia="宋体" w:cs="宋体"/>
          <w:color w:val="000000"/>
          <w:kern w:val="0"/>
          <w:sz w:val="24"/>
          <w:szCs w:val="24"/>
        </w:rPr>
      </w:pPr>
    </w:p>
    <w:p>
      <w:pPr>
        <w:widowControl/>
        <w:spacing w:line="560" w:lineRule="exact"/>
        <w:rPr>
          <w:rFonts w:ascii="黑体" w:hAnsi="黑体" w:eastAsia="黑体" w:cs="宋体"/>
          <w:color w:val="000000"/>
          <w:kern w:val="0"/>
          <w:sz w:val="30"/>
          <w:szCs w:val="30"/>
        </w:rPr>
      </w:pPr>
      <w:r>
        <w:rPr>
          <w:rFonts w:hint="eastAsia" w:ascii="黑体" w:hAnsi="黑体" w:eastAsia="黑体" w:cs="宋体"/>
          <w:bCs/>
          <w:color w:val="000000"/>
          <w:kern w:val="0"/>
          <w:sz w:val="30"/>
          <w:szCs w:val="30"/>
        </w:rPr>
        <w:t xml:space="preserve">    一、总体情况</w:t>
      </w:r>
    </w:p>
    <w:p>
      <w:pPr>
        <w:widowControl/>
        <w:spacing w:line="560" w:lineRule="exact"/>
        <w:ind w:firstLine="600" w:firstLineChars="200"/>
        <w:rPr>
          <w:rFonts w:ascii="仿宋_GB2312" w:hAnsi="微软雅黑" w:eastAsia="仿宋_GB2312" w:cs="微软雅黑"/>
          <w:bCs/>
          <w:color w:val="000000"/>
          <w:kern w:val="0"/>
          <w:sz w:val="30"/>
          <w:szCs w:val="30"/>
        </w:rPr>
      </w:pPr>
      <w:r>
        <w:rPr>
          <w:rFonts w:hint="eastAsia" w:ascii="仿宋_GB2312" w:hAnsi="微软雅黑" w:eastAsia="仿宋_GB2312" w:cs="微软雅黑"/>
          <w:bCs/>
          <w:color w:val="000000"/>
          <w:kern w:val="0"/>
          <w:sz w:val="30"/>
          <w:szCs w:val="30"/>
        </w:rPr>
        <w:t>本年度报告根据新修订的《中华人民共和国政府信息公开条例》（以下简称《条例》）和《上海市政府信息公开规定》（以下简称《规定》）要求，由上海市嘉定区嘉定镇街道编制。全文包括：年度政务公开总体情况，主动公开政府信息情况，依申请公开政府信息情况，政府信息管理情况、平台建设情况和监督保障等情况，存在的主要问题和改进措施，并附相关说明和指标统计附表等。本年度报告中所列数据的统计期限自2019年1月1日起至12月31日止。如对本年度报告有任何疑问，请联系嘉定镇街道党政办公室，地址：塔城路885号，邮编：201899，电话：59532303。</w:t>
      </w:r>
    </w:p>
    <w:p>
      <w:pPr>
        <w:widowControl/>
        <w:spacing w:line="560" w:lineRule="exact"/>
        <w:ind w:firstLine="602" w:firstLineChars="200"/>
        <w:rPr>
          <w:rFonts w:ascii="楷体_GB2312" w:hAnsi="微软雅黑" w:eastAsia="楷体_GB2312" w:cs="微软雅黑"/>
          <w:b/>
          <w:color w:val="000000"/>
          <w:kern w:val="0"/>
          <w:sz w:val="30"/>
          <w:szCs w:val="30"/>
        </w:rPr>
      </w:pPr>
      <w:r>
        <w:rPr>
          <w:rFonts w:hint="eastAsia" w:ascii="楷体_GB2312" w:hAnsi="微软雅黑" w:eastAsia="楷体_GB2312" w:cs="微软雅黑"/>
          <w:b/>
          <w:color w:val="000000"/>
          <w:kern w:val="0"/>
          <w:sz w:val="30"/>
          <w:szCs w:val="30"/>
        </w:rPr>
        <w:t>（一）年度政务公开总体情况</w:t>
      </w:r>
    </w:p>
    <w:p>
      <w:pPr>
        <w:widowControl/>
        <w:spacing w:line="560" w:lineRule="exact"/>
        <w:ind w:firstLine="600" w:firstLineChars="200"/>
        <w:rPr>
          <w:rFonts w:ascii="仿宋_GB2312" w:hAnsi="微软雅黑" w:eastAsia="仿宋_GB2312" w:cs="微软雅黑"/>
          <w:bCs/>
          <w:color w:val="000000"/>
          <w:kern w:val="0"/>
          <w:sz w:val="30"/>
          <w:szCs w:val="30"/>
        </w:rPr>
      </w:pPr>
      <w:r>
        <w:rPr>
          <w:rFonts w:hint="eastAsia" w:ascii="仿宋_GB2312" w:hAnsi="微软雅黑" w:eastAsia="仿宋_GB2312" w:cs="微软雅黑"/>
          <w:bCs/>
          <w:color w:val="000000"/>
          <w:kern w:val="0"/>
          <w:sz w:val="30"/>
          <w:szCs w:val="30"/>
        </w:rPr>
        <w:t>2019年，嘉定镇街道贯彻执行《条例》和《规定》的要求，认真落实嘉定区人民政府2019年政务公开工作要点，通过充实组织机构，完善工作制度，加强信息公开平台和应用场景建设等，不断提升政务公开的质量和实效。</w:t>
      </w:r>
    </w:p>
    <w:p>
      <w:pPr>
        <w:widowControl/>
        <w:spacing w:line="560" w:lineRule="exact"/>
        <w:ind w:firstLine="602" w:firstLineChars="200"/>
        <w:rPr>
          <w:rFonts w:ascii="仿宋_GB2312" w:hAnsi="微软雅黑" w:eastAsia="仿宋_GB2312" w:cs="微软雅黑"/>
          <w:bCs/>
          <w:color w:val="000000"/>
          <w:kern w:val="0"/>
          <w:sz w:val="30"/>
          <w:szCs w:val="30"/>
        </w:rPr>
      </w:pPr>
      <w:r>
        <w:rPr>
          <w:rFonts w:hint="eastAsia" w:ascii="仿宋_GB2312" w:hAnsi="微软雅黑" w:eastAsia="仿宋_GB2312" w:cs="微软雅黑"/>
          <w:b/>
          <w:color w:val="000000"/>
          <w:kern w:val="0"/>
          <w:sz w:val="30"/>
          <w:szCs w:val="30"/>
        </w:rPr>
        <w:t>1.加强组织保障</w:t>
      </w:r>
    </w:p>
    <w:p>
      <w:pPr>
        <w:widowControl/>
        <w:spacing w:line="560" w:lineRule="exact"/>
        <w:ind w:firstLine="600" w:firstLineChars="200"/>
        <w:rPr>
          <w:rFonts w:ascii="仿宋_GB2312" w:hAnsi="微软雅黑" w:eastAsia="仿宋_GB2312" w:cs="微软雅黑"/>
          <w:bCs/>
          <w:color w:val="000000"/>
          <w:kern w:val="0"/>
          <w:sz w:val="30"/>
          <w:szCs w:val="30"/>
        </w:rPr>
      </w:pPr>
      <w:r>
        <w:rPr>
          <w:rFonts w:hint="eastAsia" w:ascii="仿宋_GB2312" w:hAnsi="微软雅黑" w:eastAsia="仿宋_GB2312" w:cs="微软雅黑"/>
          <w:bCs/>
          <w:color w:val="000000"/>
          <w:kern w:val="0"/>
          <w:sz w:val="30"/>
          <w:szCs w:val="30"/>
        </w:rPr>
        <w:t>嘉定镇街道始终坚持把公开透明作为政务公开工作的基本要求，成立街道政府公开领导小组，由主要领导负总责，分管领导具体抓，形成上下联</w:t>
      </w:r>
      <w:r>
        <w:rPr>
          <w:rFonts w:hint="eastAsia" w:ascii="仿宋_GB2312" w:eastAsia="仿宋_GB2312"/>
          <w:sz w:val="28"/>
          <w:szCs w:val="28"/>
        </w:rPr>
        <w:t>动、齐抓共管的全方位政务公开工作格局。明确办公室</w:t>
      </w:r>
      <w:r>
        <w:rPr>
          <w:rFonts w:hint="eastAsia" w:ascii="仿宋_GB2312" w:hAnsi="微软雅黑" w:eastAsia="仿宋_GB2312" w:cs="微软雅黑"/>
          <w:bCs/>
          <w:color w:val="000000"/>
          <w:kern w:val="0"/>
          <w:sz w:val="30"/>
          <w:szCs w:val="30"/>
        </w:rPr>
        <w:t xml:space="preserve">具体负责对机关政务项目进行登记、审核和相关内容的公开发布协调。同时，明确工作职责分工，将政务公开工作制度纳入单位工作的基本制度，与业务工作同部署，充分调动各方积极性，形成工作合力，有力推动政务公开工作。 </w:t>
      </w:r>
    </w:p>
    <w:p>
      <w:pPr>
        <w:widowControl/>
        <w:spacing w:line="560" w:lineRule="exact"/>
        <w:ind w:firstLine="602" w:firstLineChars="200"/>
        <w:rPr>
          <w:rFonts w:ascii="仿宋_GB2312" w:hAnsi="微软雅黑" w:eastAsia="仿宋_GB2312" w:cs="微软雅黑"/>
          <w:b/>
          <w:color w:val="000000"/>
          <w:kern w:val="0"/>
          <w:sz w:val="30"/>
          <w:szCs w:val="30"/>
        </w:rPr>
      </w:pPr>
      <w:r>
        <w:rPr>
          <w:rFonts w:hint="eastAsia" w:ascii="仿宋_GB2312" w:hAnsi="微软雅黑" w:eastAsia="仿宋_GB2312" w:cs="微软雅黑"/>
          <w:b/>
          <w:color w:val="000000"/>
          <w:kern w:val="0"/>
          <w:sz w:val="30"/>
          <w:szCs w:val="30"/>
        </w:rPr>
        <w:t>2.健全制度建设</w:t>
      </w:r>
    </w:p>
    <w:p>
      <w:pPr>
        <w:widowControl/>
        <w:spacing w:line="560" w:lineRule="exact"/>
        <w:ind w:firstLine="600" w:firstLineChars="200"/>
        <w:rPr>
          <w:rFonts w:ascii="仿宋_GB2312" w:hAnsi="微软雅黑" w:eastAsia="仿宋_GB2312" w:cs="微软雅黑"/>
          <w:bCs/>
          <w:color w:val="000000"/>
          <w:kern w:val="0"/>
          <w:sz w:val="30"/>
          <w:szCs w:val="30"/>
        </w:rPr>
      </w:pPr>
      <w:r>
        <w:rPr>
          <w:rFonts w:hint="eastAsia" w:ascii="仿宋_GB2312" w:hAnsi="微软雅黑" w:eastAsia="仿宋_GB2312" w:cs="微软雅黑"/>
          <w:bCs/>
          <w:color w:val="000000"/>
          <w:kern w:val="0"/>
          <w:sz w:val="30"/>
          <w:szCs w:val="30"/>
        </w:rPr>
        <w:t>嘉定镇街道严格执行信息公开工作从源头上介入对文件公开属性认定的工作程序，进一步健全完善政务咨询制度、政务信息发布协调机制和信息公开保密审查制度。同时，进一步完善新闻类政府信息发布的协调机制，加大新闻发布及舆论热点事项相关信息发布的工作力度，及时回应社会关切，做到信息发布及时、内容准确完整，满足公众的知情需要。</w:t>
      </w:r>
      <w:r>
        <w:rPr>
          <w:rFonts w:hint="eastAsia" w:ascii="仿宋_GB2312" w:eastAsia="仿宋_GB2312"/>
          <w:sz w:val="28"/>
          <w:szCs w:val="28"/>
        </w:rPr>
        <w:t>同时结合工作，对街道社区居委、直属企事业单位单位加强指导督促。</w:t>
      </w:r>
    </w:p>
    <w:p>
      <w:pPr>
        <w:widowControl/>
        <w:spacing w:line="560" w:lineRule="exact"/>
        <w:ind w:firstLine="602" w:firstLineChars="200"/>
        <w:rPr>
          <w:rFonts w:ascii="仿宋_GB2312" w:hAnsi="微软雅黑" w:eastAsia="仿宋_GB2312" w:cs="微软雅黑"/>
          <w:b/>
          <w:color w:val="000000"/>
          <w:kern w:val="0"/>
          <w:sz w:val="30"/>
          <w:szCs w:val="30"/>
        </w:rPr>
      </w:pPr>
      <w:r>
        <w:rPr>
          <w:rFonts w:hint="eastAsia" w:ascii="仿宋_GB2312" w:hAnsi="微软雅黑" w:eastAsia="仿宋_GB2312" w:cs="微软雅黑"/>
          <w:b/>
          <w:color w:val="000000"/>
          <w:kern w:val="0"/>
          <w:sz w:val="30"/>
          <w:szCs w:val="30"/>
        </w:rPr>
        <w:t>3.提升工作实效</w:t>
      </w:r>
    </w:p>
    <w:p>
      <w:pPr>
        <w:widowControl/>
        <w:spacing w:line="560" w:lineRule="exact"/>
        <w:ind w:firstLine="600" w:firstLineChars="200"/>
        <w:rPr>
          <w:rFonts w:ascii="仿宋_GB2312" w:hAnsi="微软雅黑" w:eastAsia="仿宋_GB2312" w:cs="微软雅黑"/>
          <w:bCs/>
          <w:color w:val="000000"/>
          <w:kern w:val="0"/>
          <w:sz w:val="30"/>
          <w:szCs w:val="30"/>
        </w:rPr>
      </w:pPr>
      <w:r>
        <w:rPr>
          <w:rFonts w:hint="eastAsia" w:ascii="仿宋_GB2312" w:hAnsi="微软雅黑" w:eastAsia="仿宋_GB2312" w:cs="微软雅黑"/>
          <w:bCs/>
          <w:color w:val="000000"/>
          <w:kern w:val="0"/>
          <w:sz w:val="30"/>
          <w:szCs w:val="30"/>
        </w:rPr>
        <w:t>嘉定镇街道坚持以公开为常态、不公开为例外，不断提升政务公开的质量和实效。继续加强政府网站建设，根据政务公开的要求，进一步规范完善功能定位、栏目设置、信息发布。不断完善依申请公开受理和答复程序，严格落实依申请公开规范办理机制。严格按照法定时限答复，确保答复内容针对性和有效性。同时，扩大公众参与渠道，运用好睦邻点、睦邻沙龙等“睦邻”平台作用，将街道实事工程等重大项目，以通气会等形式向居民主动公开，让百姓第一时间了解街道的工作进度。</w:t>
      </w:r>
    </w:p>
    <w:p>
      <w:pPr>
        <w:widowControl/>
        <w:spacing w:line="560" w:lineRule="exact"/>
        <w:ind w:firstLine="602" w:firstLineChars="200"/>
        <w:rPr>
          <w:rFonts w:ascii="楷体_GB2312" w:hAnsi="微软雅黑" w:eastAsia="楷体_GB2312" w:cs="微软雅黑"/>
          <w:b/>
          <w:color w:val="000000"/>
          <w:kern w:val="0"/>
          <w:sz w:val="30"/>
          <w:szCs w:val="30"/>
        </w:rPr>
      </w:pPr>
      <w:r>
        <w:rPr>
          <w:rFonts w:hint="eastAsia" w:ascii="楷体_GB2312" w:hAnsi="微软雅黑" w:eastAsia="楷体_GB2312" w:cs="微软雅黑"/>
          <w:b/>
          <w:color w:val="000000"/>
          <w:kern w:val="0"/>
          <w:sz w:val="30"/>
          <w:szCs w:val="30"/>
        </w:rPr>
        <w:t>（二）主动公开政府信息情况</w:t>
      </w:r>
    </w:p>
    <w:p>
      <w:pPr>
        <w:widowControl/>
        <w:spacing w:line="560" w:lineRule="exact"/>
        <w:ind w:firstLine="600" w:firstLineChars="200"/>
        <w:rPr>
          <w:rFonts w:ascii="仿宋_GB2312" w:eastAsia="仿宋_GB2312"/>
          <w:sz w:val="30"/>
          <w:szCs w:val="30"/>
        </w:rPr>
      </w:pPr>
      <w:r>
        <w:rPr>
          <w:rFonts w:hint="eastAsia" w:ascii="仿宋_GB2312" w:eastAsia="仿宋_GB2312"/>
          <w:sz w:val="30"/>
          <w:szCs w:val="30"/>
        </w:rPr>
        <w:t>嘉定镇街道政府信息公开渠道主要依托区政府门户网站嘉定镇街道服务窗口、“睦邻嘉园”微信公众号，通过方便及时的途径进行政策解读，推动政策落实。加大重大政策执行情况的公开力度，及时公开涉及社会公共利益的公共政策和重要民政信息事项，及时公布惠民实事政策及工程执行情况。同时，按规定在区政府信息公开平台定期公开有关公文类政府信息。</w:t>
      </w:r>
    </w:p>
    <w:p>
      <w:pPr>
        <w:widowControl/>
        <w:spacing w:line="560" w:lineRule="exact"/>
        <w:ind w:firstLine="600" w:firstLineChars="200"/>
        <w:rPr>
          <w:rFonts w:ascii="仿宋_GB2312" w:eastAsia="仿宋_GB2312"/>
          <w:sz w:val="30"/>
          <w:szCs w:val="30"/>
        </w:rPr>
      </w:pPr>
      <w:r>
        <w:rPr>
          <w:rFonts w:hint="eastAsia" w:ascii="仿宋_GB2312" w:eastAsia="仿宋_GB2312"/>
          <w:sz w:val="30"/>
          <w:szCs w:val="30"/>
        </w:rPr>
        <w:t>2019年，通过网站、微信公众号主动公开政府信息数共602条，其中街道工程类公示42条。街道共制发了31条公文类信息，主动公开并按期报送14条。无规章、规范性文件、行政许可等主动公开信息。</w:t>
      </w:r>
    </w:p>
    <w:p>
      <w:pPr>
        <w:widowControl/>
        <w:spacing w:line="560" w:lineRule="exact"/>
        <w:ind w:firstLine="602" w:firstLineChars="200"/>
        <w:rPr>
          <w:rFonts w:ascii="楷体_GB2312" w:hAnsi="微软雅黑" w:eastAsia="楷体_GB2312" w:cs="微软雅黑"/>
          <w:b/>
          <w:color w:val="000000"/>
          <w:kern w:val="0"/>
          <w:sz w:val="30"/>
          <w:szCs w:val="30"/>
        </w:rPr>
      </w:pPr>
      <w:r>
        <w:rPr>
          <w:rFonts w:hint="eastAsia" w:ascii="楷体_GB2312" w:hAnsi="微软雅黑" w:eastAsia="楷体_GB2312" w:cs="微软雅黑"/>
          <w:b/>
          <w:color w:val="000000"/>
          <w:kern w:val="0"/>
          <w:sz w:val="30"/>
          <w:szCs w:val="30"/>
        </w:rPr>
        <w:t>（三）政府信息管理情况</w:t>
      </w:r>
    </w:p>
    <w:p>
      <w:pPr>
        <w:spacing w:line="560" w:lineRule="exact"/>
        <w:ind w:firstLine="600" w:firstLineChars="200"/>
        <w:rPr>
          <w:rFonts w:ascii="仿宋_GB2312" w:hAnsi="微软雅黑" w:eastAsia="仿宋_GB2312"/>
          <w:sz w:val="30"/>
          <w:szCs w:val="30"/>
        </w:rPr>
      </w:pPr>
      <w:r>
        <w:rPr>
          <w:rFonts w:hint="eastAsia" w:ascii="仿宋_GB2312" w:hAnsi="微软雅黑" w:eastAsia="仿宋_GB2312"/>
          <w:sz w:val="30"/>
          <w:szCs w:val="30"/>
        </w:rPr>
        <w:t>嘉定镇街道建立健全政府信息公开工作长效机制，严格公开申请受理答复各环节制度规范，确保公开内容的合法性、准确性、严肃性。</w:t>
      </w:r>
    </w:p>
    <w:p>
      <w:pPr>
        <w:spacing w:line="560" w:lineRule="exact"/>
        <w:ind w:firstLine="602" w:firstLineChars="200"/>
        <w:rPr>
          <w:rFonts w:ascii="仿宋_GB2312" w:hAnsi="微软雅黑" w:eastAsia="仿宋_GB2312"/>
          <w:sz w:val="30"/>
          <w:szCs w:val="30"/>
        </w:rPr>
      </w:pPr>
      <w:r>
        <w:rPr>
          <w:rFonts w:hint="eastAsia" w:ascii="仿宋_GB2312" w:hAnsi="微软雅黑" w:eastAsia="仿宋_GB2312"/>
          <w:b/>
          <w:sz w:val="30"/>
          <w:szCs w:val="30"/>
        </w:rPr>
        <w:t>一是</w:t>
      </w:r>
      <w:r>
        <w:rPr>
          <w:rFonts w:hint="eastAsia" w:ascii="仿宋_GB2312" w:hAnsi="微软雅黑" w:eastAsia="仿宋_GB2312"/>
          <w:sz w:val="30"/>
          <w:szCs w:val="30"/>
        </w:rPr>
        <w:t>完善健全政府信息主动公开制度没明确政府信息公开的职责、内容、程序、方式和时限要求。</w:t>
      </w:r>
      <w:r>
        <w:rPr>
          <w:rFonts w:hint="eastAsia" w:ascii="仿宋_GB2312" w:hAnsi="微软雅黑" w:eastAsia="仿宋_GB2312"/>
          <w:b/>
          <w:sz w:val="30"/>
          <w:szCs w:val="30"/>
        </w:rPr>
        <w:t>二是</w:t>
      </w:r>
      <w:r>
        <w:rPr>
          <w:rFonts w:hint="eastAsia" w:ascii="仿宋_GB2312" w:hAnsi="微软雅黑" w:eastAsia="仿宋_GB2312"/>
          <w:sz w:val="30"/>
          <w:szCs w:val="30"/>
        </w:rPr>
        <w:t>完善健全政府信息依申请公开制度，制定依申请公开的工作规程，明确申请的受理、审查、处理、答复等各个环节的具体要求。</w:t>
      </w:r>
      <w:r>
        <w:rPr>
          <w:rFonts w:hint="eastAsia" w:ascii="仿宋_GB2312" w:hAnsi="微软雅黑" w:eastAsia="仿宋_GB2312"/>
          <w:b/>
          <w:sz w:val="30"/>
          <w:szCs w:val="30"/>
        </w:rPr>
        <w:t>三是</w:t>
      </w:r>
      <w:r>
        <w:rPr>
          <w:rFonts w:hint="eastAsia" w:ascii="仿宋_GB2312" w:hAnsi="微软雅黑" w:eastAsia="仿宋_GB2312"/>
          <w:sz w:val="30"/>
          <w:szCs w:val="30"/>
        </w:rPr>
        <w:t>完善健全政府信息保密审查制度，明确有关保密审查的职责分工、审查程序和责任追</w:t>
      </w:r>
      <w:r>
        <w:rPr>
          <w:rFonts w:hint="eastAsia" w:ascii="仿宋_GB2312" w:hAnsi="微软雅黑" w:eastAsia="仿宋_GB2312"/>
          <w:sz w:val="30"/>
          <w:szCs w:val="30"/>
          <w:lang w:eastAsia="zh-CN"/>
        </w:rPr>
        <w:t>究</w:t>
      </w:r>
      <w:bookmarkStart w:id="0" w:name="_GoBack"/>
      <w:bookmarkEnd w:id="0"/>
      <w:r>
        <w:rPr>
          <w:rFonts w:hint="eastAsia" w:ascii="仿宋_GB2312" w:hAnsi="微软雅黑" w:eastAsia="仿宋_GB2312"/>
          <w:sz w:val="30"/>
          <w:szCs w:val="30"/>
        </w:rPr>
        <w:t>办法，确保不发生泄密问题，严格按照要求开展政府信息公开的保密审查工作。</w:t>
      </w:r>
    </w:p>
    <w:p>
      <w:pPr>
        <w:spacing w:line="560" w:lineRule="exact"/>
        <w:ind w:firstLine="602" w:firstLineChars="200"/>
        <w:rPr>
          <w:rFonts w:ascii="楷体_GB2312" w:hAnsi="黑体" w:eastAsia="楷体_GB2312"/>
          <w:b/>
          <w:sz w:val="30"/>
          <w:szCs w:val="30"/>
        </w:rPr>
      </w:pPr>
      <w:r>
        <w:rPr>
          <w:rFonts w:hint="eastAsia" w:ascii="楷体_GB2312" w:hAnsi="黑体" w:eastAsia="楷体_GB2312"/>
          <w:b/>
          <w:sz w:val="30"/>
          <w:szCs w:val="30"/>
        </w:rPr>
        <w:t>（四）政府信息公开平台建设情况</w:t>
      </w:r>
    </w:p>
    <w:p>
      <w:pPr>
        <w:spacing w:line="560" w:lineRule="exact"/>
        <w:ind w:firstLine="600" w:firstLineChars="200"/>
        <w:rPr>
          <w:rFonts w:hint="eastAsia" w:ascii="仿宋_GB2312" w:hAnsi="微软雅黑" w:eastAsia="仿宋_GB2312"/>
          <w:sz w:val="30"/>
          <w:szCs w:val="30"/>
        </w:rPr>
      </w:pPr>
      <w:r>
        <w:rPr>
          <w:rFonts w:hint="eastAsia" w:ascii="仿宋_GB2312" w:hAnsi="微软雅黑" w:eastAsia="仿宋_GB2312"/>
          <w:sz w:val="30"/>
          <w:szCs w:val="30"/>
        </w:rPr>
        <w:t>嘉定镇街道政府信息公开形式有电子化公开、纸质化公开档案查询及新闻发布四种形式。政府信息公开工作主要依托嘉定区政府门户网站进行电子化公开，嘉定镇街道办事处政务公开宣传栏进行纸质化公开，区档案局、图书馆、街道档案室提供咨询、查阅，嘉定镇街道微信公众平台“睦邻驿嘉”进行新闻发布。</w:t>
      </w:r>
    </w:p>
    <w:p>
      <w:pPr>
        <w:numPr>
          <w:ilvl w:val="0"/>
          <w:numId w:val="0"/>
        </w:numPr>
        <w:spacing w:line="560" w:lineRule="exact"/>
        <w:ind w:firstLine="602" w:firstLineChars="200"/>
      </w:pPr>
      <w:r>
        <w:rPr>
          <w:rFonts w:hint="eastAsia" w:ascii="楷体_GB2312" w:hAnsi="黑体" w:eastAsia="楷体_GB2312"/>
          <w:b/>
          <w:sz w:val="30"/>
          <w:szCs w:val="30"/>
        </w:rPr>
        <w:t>（</w:t>
      </w:r>
      <w:r>
        <w:rPr>
          <w:rFonts w:hint="eastAsia" w:ascii="楷体_GB2312" w:hAnsi="黑体" w:eastAsia="楷体_GB2312"/>
          <w:b/>
          <w:sz w:val="30"/>
          <w:szCs w:val="30"/>
          <w:lang w:eastAsia="zh-CN"/>
        </w:rPr>
        <w:t>五</w:t>
      </w:r>
      <w:r>
        <w:rPr>
          <w:rFonts w:hint="eastAsia" w:ascii="楷体_GB2312" w:hAnsi="黑体" w:eastAsia="楷体_GB2312"/>
          <w:b/>
          <w:sz w:val="30"/>
          <w:szCs w:val="30"/>
        </w:rPr>
        <w:t>）监督保障情况</w:t>
      </w:r>
    </w:p>
    <w:p>
      <w:pPr>
        <w:spacing w:line="560" w:lineRule="exact"/>
        <w:ind w:firstLine="600" w:firstLineChars="200"/>
        <w:rPr>
          <w:rFonts w:hint="eastAsia" w:ascii="仿宋_GB2312" w:hAnsi="微软雅黑" w:eastAsia="仿宋_GB2312"/>
          <w:sz w:val="30"/>
          <w:szCs w:val="30"/>
          <w:lang w:val="en-US" w:eastAsia="zh-CN"/>
        </w:rPr>
      </w:pPr>
      <w:r>
        <w:rPr>
          <w:rFonts w:hint="eastAsia" w:ascii="仿宋_GB2312" w:hAnsi="微软雅黑" w:eastAsia="仿宋_GB2312"/>
          <w:sz w:val="30"/>
          <w:szCs w:val="30"/>
          <w:lang w:val="en-US" w:eastAsia="zh-CN"/>
        </w:rPr>
        <w:t>在政府信息公开日常监管中，安排工作人员不定期对信息发布进行常规巡查，进一步加强对政务公开工作的梳理和自查，发现问题及时反馈，联系技术人员协商解决办法，进行沟通协调，目前未发生监管不力行为。</w:t>
      </w:r>
    </w:p>
    <w:p>
      <w:pPr>
        <w:spacing w:line="560" w:lineRule="exact"/>
        <w:ind w:firstLine="602" w:firstLineChars="200"/>
        <w:rPr>
          <w:rFonts w:hint="eastAsia" w:ascii="仿宋_GB2312" w:hAnsi="微软雅黑" w:eastAsia="仿宋_GB2312"/>
          <w:sz w:val="30"/>
          <w:szCs w:val="30"/>
        </w:rPr>
      </w:pPr>
      <w:r>
        <w:rPr>
          <w:rFonts w:hint="eastAsia" w:ascii="仿宋_GB2312" w:hAnsi="微软雅黑" w:eastAsia="仿宋_GB2312"/>
          <w:b/>
          <w:bCs/>
          <w:sz w:val="30"/>
          <w:szCs w:val="30"/>
          <w:lang w:val="en-US" w:eastAsia="zh-CN"/>
        </w:rPr>
        <w:t>在信息公开工作考核方面，</w:t>
      </w:r>
      <w:r>
        <w:rPr>
          <w:rFonts w:hint="eastAsia" w:ascii="仿宋_GB2312" w:hAnsi="微软雅黑" w:eastAsia="仿宋_GB2312"/>
          <w:sz w:val="30"/>
          <w:szCs w:val="30"/>
          <w:lang w:val="en-US" w:eastAsia="zh-CN"/>
        </w:rPr>
        <w:t>根据下发的考核任务，明确信息公开部门任务，定期督促业务科室进行信息收集、整理、校对。</w:t>
      </w:r>
      <w:r>
        <w:rPr>
          <w:rFonts w:hint="eastAsia" w:ascii="仿宋_GB2312" w:hAnsi="微软雅黑" w:eastAsia="仿宋_GB2312"/>
          <w:b/>
          <w:bCs/>
          <w:sz w:val="30"/>
          <w:szCs w:val="30"/>
          <w:lang w:val="en-US" w:eastAsia="zh-CN"/>
        </w:rPr>
        <w:t>在应对社会评议方面，</w:t>
      </w:r>
      <w:r>
        <w:rPr>
          <w:rFonts w:hint="eastAsia" w:ascii="仿宋_GB2312" w:hAnsi="微软雅黑" w:eastAsia="仿宋_GB2312"/>
          <w:sz w:val="30"/>
          <w:szCs w:val="30"/>
          <w:lang w:val="en-US" w:eastAsia="zh-CN"/>
        </w:rPr>
        <w:t>采取积极态度，确保对外公开的信息，有迹可寻、有政策支持、有数据支撑，有应对措施。</w:t>
      </w:r>
      <w:r>
        <w:rPr>
          <w:rFonts w:hint="eastAsia" w:ascii="仿宋_GB2312" w:hAnsi="微软雅黑" w:eastAsia="仿宋_GB2312"/>
          <w:b/>
          <w:bCs/>
          <w:sz w:val="30"/>
          <w:szCs w:val="30"/>
          <w:lang w:val="en-US" w:eastAsia="zh-CN"/>
        </w:rPr>
        <w:t>在培训指导方面，</w:t>
      </w:r>
      <w:r>
        <w:rPr>
          <w:rFonts w:hint="eastAsia" w:ascii="仿宋_GB2312" w:hAnsi="微软雅黑" w:eastAsia="仿宋_GB2312"/>
          <w:sz w:val="30"/>
          <w:szCs w:val="30"/>
          <w:lang w:val="en-US" w:eastAsia="zh-CN"/>
        </w:rPr>
        <w:t>积极组织内部业务培训交流，包括信息发布、内容格式、审核要求、部门配合等方面，进一步加强信息公开，全面了解业务流程，更顺利的开展信息公开工作。</w:t>
      </w:r>
      <w:r>
        <w:rPr>
          <w:rFonts w:hint="eastAsia" w:ascii="仿宋_GB2312" w:hAnsi="微软雅黑" w:eastAsia="仿宋_GB2312"/>
          <w:b/>
          <w:bCs/>
          <w:sz w:val="30"/>
          <w:szCs w:val="30"/>
          <w:lang w:val="en-US" w:eastAsia="zh-CN"/>
        </w:rPr>
        <w:t>在责任追究结果方面，</w:t>
      </w:r>
      <w:r>
        <w:rPr>
          <w:rFonts w:hint="eastAsia" w:ascii="仿宋_GB2312" w:hAnsi="微软雅黑" w:eastAsia="仿宋_GB2312"/>
          <w:sz w:val="30"/>
          <w:szCs w:val="30"/>
          <w:lang w:val="en-US" w:eastAsia="zh-CN"/>
        </w:rPr>
        <w:t>未因政务公开工作受到业务主管部门通报。如发现信息公开工作中存在的问题隐患，积极组织人员进行分析研判，在党工委会议、党政联席会议、科级干部会上进行业务汇总、排查，确保将隐患问题解决在萌芽中。</w:t>
      </w:r>
    </w:p>
    <w:p>
      <w:pPr>
        <w:spacing w:line="560" w:lineRule="exact"/>
        <w:ind w:firstLine="602" w:firstLineChars="200"/>
        <w:rPr>
          <w:rFonts w:ascii="楷体_GB2312" w:hAnsi="微软雅黑" w:eastAsia="楷体_GB2312"/>
          <w:b/>
          <w:sz w:val="30"/>
          <w:szCs w:val="30"/>
        </w:rPr>
      </w:pPr>
      <w:r>
        <w:rPr>
          <w:rFonts w:hint="eastAsia" w:ascii="楷体_GB2312" w:hAnsi="黑体" w:eastAsia="楷体_GB2312"/>
          <w:b/>
          <w:sz w:val="30"/>
          <w:szCs w:val="30"/>
        </w:rPr>
        <w:t>（六）依申请公开政府信息情况</w:t>
      </w:r>
    </w:p>
    <w:p>
      <w:pPr>
        <w:widowControl/>
        <w:spacing w:line="560" w:lineRule="exact"/>
        <w:ind w:firstLine="600" w:firstLineChars="200"/>
        <w:rPr>
          <w:rFonts w:ascii="仿宋_GB2312" w:eastAsia="仿宋_GB2312"/>
          <w:sz w:val="30"/>
          <w:szCs w:val="30"/>
        </w:rPr>
      </w:pPr>
      <w:r>
        <w:rPr>
          <w:rFonts w:hint="eastAsia" w:ascii="仿宋_GB2312" w:eastAsia="仿宋_GB2312"/>
          <w:sz w:val="30"/>
          <w:szCs w:val="30"/>
        </w:rPr>
        <w:t>今年以来，政府信息公开申请3件，已全部完成办结。</w:t>
      </w:r>
    </w:p>
    <w:p>
      <w:pPr>
        <w:widowControl/>
        <w:spacing w:line="560" w:lineRule="exact"/>
        <w:ind w:firstLine="600" w:firstLineChars="200"/>
        <w:rPr>
          <w:rFonts w:ascii="仿宋_GB2312" w:eastAsia="仿宋_GB2312"/>
          <w:sz w:val="30"/>
          <w:szCs w:val="30"/>
        </w:rPr>
      </w:pPr>
      <w:r>
        <w:rPr>
          <w:rFonts w:hint="eastAsia" w:ascii="仿宋_GB2312" w:eastAsia="仿宋_GB2312"/>
          <w:sz w:val="30"/>
          <w:szCs w:val="30"/>
        </w:rPr>
        <w:t>申请人主要类别为个人，分别对《嘉定镇街道路长制工作实施方案》、2019年垃圾箱房改造工程项目公开招标、上海市嘉定区人民政府嘉定镇街道办事处资产分析报告等事项申请公开。</w:t>
      </w:r>
    </w:p>
    <w:p>
      <w:pPr>
        <w:widowControl/>
        <w:spacing w:line="560" w:lineRule="exact"/>
        <w:ind w:firstLine="600" w:firstLineChars="200"/>
        <w:rPr>
          <w:rFonts w:ascii="仿宋_GB2312" w:eastAsia="仿宋_GB2312"/>
          <w:sz w:val="30"/>
          <w:szCs w:val="30"/>
        </w:rPr>
      </w:pPr>
      <w:r>
        <w:rPr>
          <w:rFonts w:hint="eastAsia" w:ascii="仿宋_GB2312" w:eastAsia="仿宋_GB2312"/>
          <w:sz w:val="30"/>
          <w:szCs w:val="30"/>
        </w:rPr>
        <w:t>嘉定镇街道在对《嘉定镇街道路长制工作实施方案》公开申请的办理过程中，虽然办结类型为信息不存在，但是仍然寄送了相关书面的材料至申请人；对2019年垃圾箱房改造工程项目公开招标项目进行主动公开；对嘉定镇街道办事处资产分析报告公开申请办结类型为信息不存在。</w:t>
      </w:r>
    </w:p>
    <w:p>
      <w:pPr>
        <w:widowControl/>
        <w:spacing w:line="560" w:lineRule="exact"/>
        <w:ind w:firstLine="600" w:firstLineChars="200"/>
        <w:rPr>
          <w:rFonts w:ascii="仿宋_GB2312" w:eastAsia="仿宋_GB2312"/>
          <w:sz w:val="30"/>
          <w:szCs w:val="30"/>
        </w:rPr>
      </w:pPr>
      <w:r>
        <w:rPr>
          <w:rFonts w:hint="eastAsia" w:ascii="仿宋_GB2312" w:eastAsia="仿宋_GB2312"/>
          <w:sz w:val="30"/>
          <w:szCs w:val="30"/>
        </w:rPr>
        <w:t>嘉定镇街没有因政府信息公开工作被申请行政复议、提起行政诉讼情况。</w:t>
      </w:r>
    </w:p>
    <w:p>
      <w:pPr>
        <w:spacing w:line="560" w:lineRule="exact"/>
        <w:ind w:firstLine="600" w:firstLineChars="200"/>
        <w:rPr>
          <w:rFonts w:ascii="仿宋_GB2312" w:eastAsia="仿宋_GB2312"/>
          <w:sz w:val="30"/>
          <w:szCs w:val="30"/>
        </w:rPr>
      </w:pPr>
    </w:p>
    <w:p>
      <w:pPr>
        <w:widowControl/>
        <w:spacing w:line="432" w:lineRule="atLeast"/>
        <w:ind w:firstLine="48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二、主动公开政府信息情况</w:t>
      </w:r>
    </w:p>
    <w:p>
      <w:pPr>
        <w:widowControl/>
        <w:spacing w:line="432" w:lineRule="atLeast"/>
        <w:ind w:firstLine="480"/>
        <w:rPr>
          <w:rFonts w:ascii="黑体" w:hAnsi="黑体" w:eastAsia="黑体" w:cs="宋体"/>
          <w:color w:val="000000"/>
          <w:kern w:val="0"/>
          <w:sz w:val="30"/>
          <w:szCs w:val="30"/>
        </w:rPr>
      </w:pPr>
    </w:p>
    <w:tbl>
      <w:tblPr>
        <w:tblStyle w:val="5"/>
        <w:tblW w:w="8140" w:type="dxa"/>
        <w:jc w:val="center"/>
        <w:tblLayout w:type="autofit"/>
        <w:tblCellMar>
          <w:top w:w="15" w:type="dxa"/>
          <w:left w:w="15" w:type="dxa"/>
          <w:bottom w:w="15" w:type="dxa"/>
          <w:right w:w="15" w:type="dxa"/>
        </w:tblCellMar>
      </w:tblPr>
      <w:tblGrid>
        <w:gridCol w:w="3113"/>
        <w:gridCol w:w="1875"/>
        <w:gridCol w:w="6"/>
        <w:gridCol w:w="1265"/>
        <w:gridCol w:w="1881"/>
      </w:tblGrid>
      <w:tr>
        <w:tblPrEx>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制作数量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对外公开总数量</w:t>
            </w:r>
          </w:p>
        </w:tc>
      </w:tr>
      <w:tr>
        <w:tblPrEx>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r>
      <w:tr>
        <w:tblPrEx>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0</w:t>
            </w:r>
          </w:p>
        </w:tc>
      </w:tr>
      <w:tr>
        <w:tblPrEx>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r>
      <w:tr>
        <w:tblPrEx>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其他对外管理服务事项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r>
      <w:tr>
        <w:tblPrEx>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r>
      <w:tr>
        <w:tblPrEx>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r>
      <w:tr>
        <w:tblPrEx>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r>
      <w:tr>
        <w:tblPrEx>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 0</w:t>
            </w:r>
          </w:p>
        </w:tc>
      </w:tr>
      <w:tr>
        <w:tblPrEx>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第二十条第（九）项</w:t>
            </w:r>
          </w:p>
        </w:tc>
      </w:tr>
      <w:tr>
        <w:tblPrEx>
          <w:tblCellMar>
            <w:top w:w="15" w:type="dxa"/>
            <w:left w:w="15" w:type="dxa"/>
            <w:bottom w:w="15" w:type="dxa"/>
            <w:right w:w="15" w:type="dxa"/>
          </w:tblCellMar>
        </w:tblPrEx>
        <w:trPr>
          <w:trHeight w:val="45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采购项目数量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采购总金额</w:t>
            </w:r>
          </w:p>
        </w:tc>
      </w:tr>
      <w:tr>
        <w:tblPrEx>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color w:val="000000"/>
                <w:kern w:val="0"/>
                <w:sz w:val="20"/>
                <w:szCs w:val="20"/>
              </w:rPr>
              <w:t>政府集中采购</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7</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141.67（万元）</w:t>
            </w:r>
          </w:p>
        </w:tc>
      </w:tr>
    </w:tbl>
    <w:p>
      <w:pPr>
        <w:widowControl/>
        <w:spacing w:line="432" w:lineRule="atLeast"/>
        <w:rPr>
          <w:rFonts w:ascii="黑体" w:hAnsi="黑体" w:eastAsia="黑体" w:cs="宋体"/>
          <w:color w:val="000000"/>
          <w:kern w:val="0"/>
          <w:sz w:val="30"/>
          <w:szCs w:val="30"/>
        </w:rPr>
      </w:pPr>
      <w:r>
        <w:rPr>
          <w:rFonts w:hint="eastAsia" w:ascii="黑体" w:hAnsi="黑体" w:eastAsia="黑体" w:cs="宋体"/>
          <w:bCs/>
          <w:color w:val="000000"/>
          <w:kern w:val="0"/>
          <w:sz w:val="30"/>
          <w:szCs w:val="30"/>
        </w:rPr>
        <w:t>三、收到和处理政府信息公开申请情况</w:t>
      </w:r>
      <w:r>
        <w:rPr>
          <w:rFonts w:hint="eastAsia" w:ascii="黑体" w:hAnsi="黑体" w:eastAsia="黑体" w:cs="宋体"/>
          <w:bCs/>
          <w:color w:val="000000"/>
          <w:kern w:val="0"/>
          <w:sz w:val="30"/>
          <w:szCs w:val="30"/>
        </w:rPr>
        <w:br w:type="textWrapping"/>
      </w:r>
    </w:p>
    <w:tbl>
      <w:tblPr>
        <w:tblStyle w:val="5"/>
        <w:tblW w:w="9071" w:type="dxa"/>
        <w:jc w:val="center"/>
        <w:tblLayout w:type="autofit"/>
        <w:tblCellMar>
          <w:top w:w="15" w:type="dxa"/>
          <w:left w:w="15" w:type="dxa"/>
          <w:bottom w:w="15" w:type="dxa"/>
          <w:right w:w="15" w:type="dxa"/>
        </w:tblCellMar>
      </w:tblPr>
      <w:tblGrid>
        <w:gridCol w:w="616"/>
        <w:gridCol w:w="854"/>
        <w:gridCol w:w="2086"/>
        <w:gridCol w:w="813"/>
        <w:gridCol w:w="755"/>
        <w:gridCol w:w="755"/>
        <w:gridCol w:w="813"/>
        <w:gridCol w:w="973"/>
        <w:gridCol w:w="711"/>
        <w:gridCol w:w="695"/>
      </w:tblGrid>
      <w:tr>
        <w:tblPrEx>
          <w:tblCellMar>
            <w:top w:w="15" w:type="dxa"/>
            <w:left w:w="15" w:type="dxa"/>
            <w:bottom w:w="15" w:type="dxa"/>
            <w:right w:w="15"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2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406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70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8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3</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3</w:t>
            </w: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49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29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（一）予以公开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1</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1</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9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（二）部分公开（区分处理的，只计这一情形，不计其他情形）</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（三）不予公开</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1.属于国家秘密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2.其他法律行政法规禁止公开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3.危及“三安全一稳定”</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4.保护第三方合法权益</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5.属于三类内部事务信息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6.属于四类过程性信息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7.属于行政执法案卷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8.属于行政查询事项</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（四）无法提供</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1.本机关不掌握相关政府信息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2</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2</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2.没有现成信息需要另行制作</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3.补正后申请内容仍不明确</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（五）不予处理</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1.信访举报投诉类申请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2.重复申请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3.要求提供公开出版物</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4.无正当理由大量反复申请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5.要求行政机关确认或重新出具已获取信息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9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（六）其他处理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9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楷体" w:hAnsi="楷体" w:eastAsia="楷体" w:cs="宋体"/>
                <w:kern w:val="0"/>
                <w:sz w:val="20"/>
                <w:szCs w:val="20"/>
              </w:rPr>
              <w:t>（七）总计</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3</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r>
              <w:rPr>
                <w:rFonts w:ascii="Calibri" w:hAnsi="Calibri" w:eastAsia="宋体" w:cs="Calibri"/>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3</w:t>
            </w:r>
          </w:p>
        </w:tc>
      </w:tr>
      <w:tr>
        <w:trPr>
          <w:jc w:val="center"/>
        </w:trPr>
        <w:tc>
          <w:tcPr>
            <w:tcW w:w="347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Calibri" w:hAnsi="Calibri" w:eastAsia="宋体" w:cs="Calibri"/>
                <w:kern w:val="0"/>
                <w:sz w:val="20"/>
                <w:szCs w:val="20"/>
              </w:rPr>
              <w:t>0</w:t>
            </w:r>
          </w:p>
        </w:tc>
      </w:tr>
    </w:tbl>
    <w:p>
      <w:pPr>
        <w:widowControl/>
        <w:spacing w:line="432" w:lineRule="atLeast"/>
        <w:ind w:firstLine="480"/>
        <w:rPr>
          <w:rFonts w:ascii="宋体" w:hAnsi="宋体" w:eastAsia="宋体" w:cs="宋体"/>
          <w:color w:val="000000"/>
          <w:kern w:val="0"/>
          <w:sz w:val="24"/>
          <w:szCs w:val="24"/>
        </w:rPr>
      </w:pPr>
    </w:p>
    <w:p>
      <w:pPr>
        <w:widowControl/>
        <w:spacing w:line="432" w:lineRule="atLeast"/>
        <w:ind w:firstLine="480"/>
        <w:rPr>
          <w:rFonts w:ascii="黑体" w:hAnsi="黑体" w:eastAsia="黑体" w:cs="宋体"/>
          <w:color w:val="000000"/>
          <w:kern w:val="0"/>
          <w:sz w:val="30"/>
          <w:szCs w:val="30"/>
        </w:rPr>
      </w:pPr>
      <w:r>
        <w:rPr>
          <w:rFonts w:hint="eastAsia" w:ascii="黑体" w:hAnsi="黑体" w:eastAsia="黑体" w:cs="宋体"/>
          <w:bCs/>
          <w:color w:val="000000"/>
          <w:kern w:val="0"/>
          <w:sz w:val="30"/>
          <w:szCs w:val="30"/>
        </w:rPr>
        <w:t>四、政府信息公开行政复议、行政诉讼情况</w:t>
      </w:r>
    </w:p>
    <w:p>
      <w:pPr>
        <w:widowControl/>
        <w:spacing w:line="432" w:lineRule="atLeast"/>
        <w:ind w:firstLine="480"/>
        <w:rPr>
          <w:rFonts w:ascii="宋体" w:hAnsi="宋体" w:eastAsia="宋体" w:cs="宋体"/>
          <w:color w:val="000000"/>
          <w:kern w:val="0"/>
          <w:sz w:val="24"/>
          <w:szCs w:val="24"/>
        </w:rPr>
      </w:pPr>
    </w:p>
    <w:tbl>
      <w:tblPr>
        <w:tblStyle w:val="5"/>
        <w:tblW w:w="9071" w:type="dxa"/>
        <w:jc w:val="cente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15" w:type="dxa"/>
            <w:left w:w="15" w:type="dxa"/>
            <w:bottom w:w="15" w:type="dxa"/>
            <w:right w:w="15" w:type="dxa"/>
          </w:tblCellMar>
        </w:tblPrEx>
        <w:trPr>
          <w:jc w:val="center"/>
        </w:trPr>
        <w:tc>
          <w:tcPr>
            <w:tcW w:w="604" w:type="dxa"/>
            <w:tcBorders>
              <w:top w:val="nil"/>
              <w:left w:val="single" w:color="auto" w:sz="8" w:space="0"/>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04"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04"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04"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658"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ascii="Calibri" w:hAnsi="Calibri" w:eastAsia="宋体" w:cs="Calibri"/>
                <w:kern w:val="0"/>
                <w:sz w:val="20"/>
                <w:szCs w:val="20"/>
              </w:rPr>
              <w:t> </w:t>
            </w:r>
            <w:r>
              <w:rPr>
                <w:rFonts w:hint="eastAsia" w:ascii="Calibri" w:hAnsi="Calibri" w:eastAsia="宋体" w:cs="Calibri"/>
                <w:kern w:val="0"/>
                <w:sz w:val="20"/>
                <w:szCs w:val="20"/>
              </w:rPr>
              <w:t>0</w:t>
            </w:r>
          </w:p>
        </w:tc>
        <w:tc>
          <w:tcPr>
            <w:tcW w:w="550"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0</w:t>
            </w:r>
          </w:p>
        </w:tc>
        <w:tc>
          <w:tcPr>
            <w:tcW w:w="605"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5"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5"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605"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5"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5"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color w:val="000000"/>
                <w:kern w:val="0"/>
                <w:sz w:val="20"/>
                <w:szCs w:val="20"/>
              </w:rPr>
              <w:t> 0</w:t>
            </w:r>
          </w:p>
        </w:tc>
        <w:tc>
          <w:tcPr>
            <w:tcW w:w="606" w:type="dxa"/>
            <w:tcBorders>
              <w:top w:val="nil"/>
              <w:left w:val="nil"/>
              <w:bottom w:val="nil"/>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4"/>
                <w:szCs w:val="24"/>
              </w:rPr>
            </w:pPr>
            <w:r>
              <w:rPr>
                <w:rFonts w:hint="eastAsia" w:ascii="宋体" w:hAnsi="宋体" w:eastAsia="宋体" w:cs="宋体"/>
                <w:kern w:val="0"/>
                <w:sz w:val="20"/>
                <w:szCs w:val="20"/>
              </w:rPr>
              <w:t> 0</w:t>
            </w:r>
          </w:p>
        </w:tc>
        <w:tc>
          <w:tcPr>
            <w:tcW w:w="606" w:type="dxa"/>
            <w:tcBorders>
              <w:top w:val="nil"/>
              <w:left w:val="nil"/>
              <w:bottom w:val="nil"/>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Calibri" w:hAnsi="Calibri" w:eastAsia="宋体" w:cs="Calibri"/>
                <w:kern w:val="0"/>
                <w:sz w:val="20"/>
                <w:szCs w:val="20"/>
              </w:rPr>
            </w:pP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Calibri" w:hAnsi="Calibri" w:eastAsia="宋体" w:cs="Calibri"/>
                <w:kern w:val="0"/>
                <w:sz w:val="20"/>
                <w:szCs w:val="20"/>
              </w:rPr>
            </w:pP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Calibri" w:hAnsi="Calibri" w:eastAsia="宋体" w:cs="Calibri"/>
                <w:kern w:val="0"/>
                <w:sz w:val="20"/>
                <w:szCs w:val="20"/>
              </w:rPr>
            </w:pP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Calibri" w:hAnsi="Calibri" w:eastAsia="宋体" w:cs="Calibri"/>
                <w:kern w:val="0"/>
                <w:sz w:val="20"/>
                <w:szCs w:val="20"/>
              </w:rPr>
            </w:pP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Calibri" w:hAnsi="Calibri" w:eastAsia="宋体" w:cs="Calibri"/>
                <w:kern w:val="0"/>
                <w:sz w:val="20"/>
                <w:szCs w:val="20"/>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0"/>
                <w:szCs w:val="20"/>
              </w:rPr>
            </w:pP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0"/>
                <w:szCs w:val="20"/>
              </w:rPr>
            </w:pP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0"/>
                <w:szCs w:val="20"/>
              </w:rPr>
            </w:pP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0"/>
                <w:szCs w:val="20"/>
              </w:rPr>
            </w:pP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color w:val="000000"/>
                <w:kern w:val="0"/>
                <w:sz w:val="20"/>
                <w:szCs w:val="20"/>
              </w:rPr>
            </w:pP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0"/>
                <w:szCs w:val="20"/>
              </w:rPr>
            </w:pP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0"/>
                <w:szCs w:val="20"/>
              </w:rPr>
            </w:pP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color w:val="000000"/>
                <w:kern w:val="0"/>
                <w:sz w:val="20"/>
                <w:szCs w:val="20"/>
              </w:rPr>
            </w:pP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80"/>
              <w:jc w:val="center"/>
              <w:rPr>
                <w:rFonts w:ascii="宋体" w:hAnsi="宋体" w:eastAsia="宋体" w:cs="宋体"/>
                <w:kern w:val="0"/>
                <w:sz w:val="20"/>
                <w:szCs w:val="20"/>
              </w:rPr>
            </w:pP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p>
        </w:tc>
      </w:tr>
    </w:tbl>
    <w:p>
      <w:pPr>
        <w:widowControl/>
        <w:spacing w:line="432" w:lineRule="atLeast"/>
        <w:ind w:firstLine="480"/>
        <w:rPr>
          <w:rFonts w:ascii="黑体" w:hAnsi="黑体" w:eastAsia="黑体" w:cs="宋体"/>
          <w:bCs/>
          <w:color w:val="000000"/>
          <w:kern w:val="0"/>
          <w:sz w:val="30"/>
          <w:szCs w:val="30"/>
        </w:rPr>
      </w:pPr>
    </w:p>
    <w:p>
      <w:pPr>
        <w:widowControl/>
        <w:spacing w:line="432" w:lineRule="atLeast"/>
        <w:ind w:firstLine="48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五、存在的主要问题及改进情况</w:t>
      </w:r>
    </w:p>
    <w:p>
      <w:pPr>
        <w:widowControl/>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2019年，嘉定镇街道严格落实上级有关政府信息公开的决策部署和文件精神，取得一定成效，但也存在一些不足：主要有工作机制需要进一步健全，信息</w:t>
      </w:r>
      <w:r>
        <w:rPr>
          <w:rFonts w:hint="eastAsia" w:ascii="仿宋_GB2312" w:hAnsi="微软雅黑" w:eastAsia="仿宋_GB2312"/>
          <w:sz w:val="30"/>
          <w:szCs w:val="30"/>
        </w:rPr>
        <w:t>公开平台建设有待进一步提高，</w:t>
      </w:r>
      <w:r>
        <w:rPr>
          <w:rFonts w:hint="eastAsia" w:ascii="仿宋_GB2312" w:hAnsi="宋体" w:eastAsia="仿宋_GB2312" w:cs="宋体"/>
          <w:color w:val="000000"/>
          <w:kern w:val="0"/>
          <w:sz w:val="30"/>
          <w:szCs w:val="30"/>
        </w:rPr>
        <w:t>业务知识培训力度亟待进一步加强等。</w:t>
      </w:r>
    </w:p>
    <w:p>
      <w:pPr>
        <w:ind w:firstLine="600" w:firstLineChars="200"/>
        <w:rPr>
          <w:rFonts w:ascii="仿宋_GB2312" w:eastAsia="仿宋_GB2312"/>
          <w:sz w:val="30"/>
          <w:szCs w:val="30"/>
        </w:rPr>
      </w:pPr>
      <w:r>
        <w:rPr>
          <w:rFonts w:hint="eastAsia" w:ascii="仿宋_GB2312" w:eastAsia="仿宋_GB2312"/>
          <w:sz w:val="30"/>
          <w:szCs w:val="30"/>
        </w:rPr>
        <w:t>下一阶段，嘉定镇街道将具体做好以下工作：</w:t>
      </w:r>
    </w:p>
    <w:p>
      <w:pPr>
        <w:ind w:firstLine="602" w:firstLineChars="200"/>
        <w:rPr>
          <w:rFonts w:ascii="仿宋_GB2312" w:eastAsia="仿宋_GB2312"/>
          <w:sz w:val="30"/>
          <w:szCs w:val="30"/>
        </w:rPr>
      </w:pPr>
      <w:r>
        <w:rPr>
          <w:rFonts w:hint="eastAsia" w:ascii="仿宋_GB2312" w:eastAsia="仿宋_GB2312"/>
          <w:b/>
          <w:sz w:val="30"/>
          <w:szCs w:val="30"/>
        </w:rPr>
        <w:t>一是</w:t>
      </w:r>
      <w:r>
        <w:rPr>
          <w:rFonts w:hint="eastAsia" w:ascii="仿宋_GB2312" w:eastAsia="仿宋_GB2312"/>
          <w:sz w:val="30"/>
          <w:szCs w:val="30"/>
        </w:rPr>
        <w:t>完善政府信息公开工作机制。从工作实际出发，明确界定主动公开、依申请公开和免予公开政府信息范围。加强工作人员配备，确保政府信息公开工作人员到位、责任到位、有序开展。</w:t>
      </w:r>
      <w:r>
        <w:rPr>
          <w:rFonts w:hint="eastAsia" w:ascii="仿宋_GB2312" w:eastAsia="仿宋_GB2312"/>
          <w:b/>
          <w:sz w:val="30"/>
          <w:szCs w:val="30"/>
        </w:rPr>
        <w:t>二是</w:t>
      </w:r>
      <w:r>
        <w:rPr>
          <w:rFonts w:hint="eastAsia" w:ascii="仿宋_GB2312" w:eastAsia="仿宋_GB2312"/>
          <w:sz w:val="30"/>
          <w:szCs w:val="30"/>
        </w:rPr>
        <w:t>加强门户网站信息公开建设和管理。将网站和信息公开专栏建设成街道信息主动公开的首要及重要渠道；</w:t>
      </w:r>
      <w:r>
        <w:rPr>
          <w:rFonts w:hint="eastAsia" w:ascii="仿宋_GB2312" w:eastAsia="仿宋_GB2312"/>
          <w:b/>
          <w:sz w:val="30"/>
          <w:szCs w:val="30"/>
        </w:rPr>
        <w:t>三是</w:t>
      </w:r>
      <w:r>
        <w:rPr>
          <w:rFonts w:hint="eastAsia" w:ascii="仿宋_GB2312" w:eastAsia="仿宋_GB2312"/>
          <w:sz w:val="30"/>
          <w:szCs w:val="30"/>
        </w:rPr>
        <w:t>加强业务知识培训。进一步加大培训力度，扩大培训范围，普及政府信息公开理念及基本知识，逐步建立培训工作常态化机制；</w:t>
      </w:r>
      <w:r>
        <w:rPr>
          <w:rFonts w:hint="eastAsia" w:ascii="仿宋_GB2312" w:eastAsia="仿宋_GB2312"/>
          <w:b/>
          <w:sz w:val="30"/>
          <w:szCs w:val="30"/>
        </w:rPr>
        <w:t>四是</w:t>
      </w:r>
      <w:r>
        <w:rPr>
          <w:rFonts w:hint="eastAsia" w:ascii="仿宋_GB2312" w:eastAsia="仿宋_GB2312"/>
          <w:sz w:val="30"/>
          <w:szCs w:val="30"/>
        </w:rPr>
        <w:t>推动政府信息公开工作创新。围绕政府信息公开工作的新情况和新问题，加强调查研究，积极探索推进工作新思路、新举措，不断拓展政府信息公开的深度和广度，不断完善政府信息公开的制度和措施，不断提高政府信息公开工作的质量和水平。</w:t>
      </w:r>
    </w:p>
    <w:p>
      <w:pPr>
        <w:widowControl/>
        <w:spacing w:line="432" w:lineRule="atLeast"/>
        <w:ind w:firstLine="480"/>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六、其他需要报告的事项</w:t>
      </w:r>
    </w:p>
    <w:p>
      <w:pPr>
        <w:ind w:firstLine="600" w:firstLineChars="200"/>
        <w:rPr>
          <w:rFonts w:ascii="仿宋_GB2312" w:eastAsia="仿宋_GB2312"/>
          <w:sz w:val="30"/>
          <w:szCs w:val="30"/>
        </w:rPr>
      </w:pPr>
      <w:r>
        <w:rPr>
          <w:rFonts w:hint="eastAsia" w:ascii="仿宋_GB2312" w:eastAsia="仿宋_GB2312"/>
          <w:sz w:val="30"/>
          <w:szCs w:val="30"/>
        </w:rPr>
        <w:t>无。</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Consolas">
    <w:altName w:val="Liberation Sans Narrow"/>
    <w:panose1 w:val="020B0609020204030204"/>
    <w:charset w:val="00"/>
    <w:family w:val="auto"/>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533A3"/>
    <w:rsid w:val="001105CB"/>
    <w:rsid w:val="00111730"/>
    <w:rsid w:val="00264B6A"/>
    <w:rsid w:val="00266F23"/>
    <w:rsid w:val="00430116"/>
    <w:rsid w:val="005011B2"/>
    <w:rsid w:val="00510800"/>
    <w:rsid w:val="00556322"/>
    <w:rsid w:val="00625967"/>
    <w:rsid w:val="006259A5"/>
    <w:rsid w:val="007F3BE2"/>
    <w:rsid w:val="00816653"/>
    <w:rsid w:val="008252B9"/>
    <w:rsid w:val="008533A3"/>
    <w:rsid w:val="00861276"/>
    <w:rsid w:val="0097091E"/>
    <w:rsid w:val="00A91DE7"/>
    <w:rsid w:val="00AA612E"/>
    <w:rsid w:val="00B06EC0"/>
    <w:rsid w:val="00B0746C"/>
    <w:rsid w:val="00B17877"/>
    <w:rsid w:val="00B65409"/>
    <w:rsid w:val="00BF08FC"/>
    <w:rsid w:val="00C46769"/>
    <w:rsid w:val="00C820A2"/>
    <w:rsid w:val="00E0017B"/>
    <w:rsid w:val="00E03C16"/>
    <w:rsid w:val="00E31AC4"/>
    <w:rsid w:val="00EE77A0"/>
    <w:rsid w:val="00F14E5C"/>
    <w:rsid w:val="00F52D49"/>
    <w:rsid w:val="2A265823"/>
    <w:rsid w:val="EF37E0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color w:val="555555"/>
      <w:sz w:val="18"/>
      <w:szCs w:val="18"/>
      <w:bdr w:val="single" w:color="CCCCCC" w:sz="6" w:space="0"/>
      <w:shd w:val="clear" w:fill="EEEEEE"/>
    </w:rPr>
  </w:style>
  <w:style w:type="character" w:styleId="8">
    <w:name w:val="FollowedHyperlink"/>
    <w:basedOn w:val="6"/>
    <w:semiHidden/>
    <w:unhideWhenUsed/>
    <w:qFormat/>
    <w:uiPriority w:val="99"/>
    <w:rPr>
      <w:color w:val="337AB7"/>
      <w:u w:val="none"/>
    </w:rPr>
  </w:style>
  <w:style w:type="character" w:styleId="9">
    <w:name w:val="HTML Definition"/>
    <w:basedOn w:val="6"/>
    <w:semiHidden/>
    <w:unhideWhenUsed/>
    <w:qFormat/>
    <w:uiPriority w:val="99"/>
    <w:rPr>
      <w:i/>
      <w:bdr w:val="single" w:color="999999" w:sz="6" w:space="0"/>
      <w:shd w:val="clear" w:fill="FFFFFF"/>
    </w:rPr>
  </w:style>
  <w:style w:type="character" w:styleId="10">
    <w:name w:val="Hyperlink"/>
    <w:basedOn w:val="6"/>
    <w:semiHidden/>
    <w:unhideWhenUsed/>
    <w:qFormat/>
    <w:uiPriority w:val="99"/>
    <w:rPr>
      <w:color w:val="337AB7"/>
      <w:u w:val="none"/>
    </w:rPr>
  </w:style>
  <w:style w:type="character" w:styleId="11">
    <w:name w:val="HTML Code"/>
    <w:basedOn w:val="6"/>
    <w:semiHidden/>
    <w:unhideWhenUsed/>
    <w:qFormat/>
    <w:uiPriority w:val="99"/>
    <w:rPr>
      <w:rFonts w:hint="default" w:ascii="Consolas" w:hAnsi="Consolas" w:eastAsia="Consolas" w:cs="Consolas"/>
      <w:color w:val="C7254E"/>
      <w:sz w:val="21"/>
      <w:szCs w:val="21"/>
      <w:shd w:val="clear" w:fill="F9F2F4"/>
    </w:rPr>
  </w:style>
  <w:style w:type="character" w:styleId="12">
    <w:name w:val="HTML Keyboard"/>
    <w:basedOn w:val="6"/>
    <w:semiHidden/>
    <w:unhideWhenUsed/>
    <w:qFormat/>
    <w:uiPriority w:val="99"/>
    <w:rPr>
      <w:rFonts w:hint="default" w:ascii="Consolas" w:hAnsi="Consolas" w:eastAsia="Consolas" w:cs="Consolas"/>
      <w:color w:val="FFFFFF"/>
      <w:sz w:val="21"/>
      <w:szCs w:val="21"/>
      <w:shd w:val="clear" w:fill="333333"/>
    </w:rPr>
  </w:style>
  <w:style w:type="character" w:styleId="13">
    <w:name w:val="HTML Sample"/>
    <w:basedOn w:val="6"/>
    <w:semiHidden/>
    <w:unhideWhenUsed/>
    <w:qFormat/>
    <w:uiPriority w:val="99"/>
    <w:rPr>
      <w:rFonts w:ascii="Consolas" w:hAnsi="Consolas" w:eastAsia="Consolas" w:cs="Consolas"/>
      <w:sz w:val="21"/>
      <w:szCs w:val="21"/>
    </w:rPr>
  </w:style>
  <w:style w:type="character" w:customStyle="1" w:styleId="14">
    <w:name w:val="页眉 Char"/>
    <w:basedOn w:val="6"/>
    <w:link w:val="3"/>
    <w:qFormat/>
    <w:uiPriority w:val="99"/>
    <w:rPr>
      <w:sz w:val="18"/>
      <w:szCs w:val="18"/>
    </w:rPr>
  </w:style>
  <w:style w:type="character" w:customStyle="1" w:styleId="15">
    <w:name w:val="页脚 Char"/>
    <w:basedOn w:val="6"/>
    <w:link w:val="2"/>
    <w:qFormat/>
    <w:uiPriority w:val="99"/>
    <w:rPr>
      <w:sz w:val="18"/>
      <w:szCs w:val="18"/>
    </w:rPr>
  </w:style>
  <w:style w:type="character" w:customStyle="1" w:styleId="16">
    <w:name w:val="percentage"/>
    <w:basedOn w:val="6"/>
    <w:qFormat/>
    <w:uiPriority w:val="0"/>
  </w:style>
  <w:style w:type="character" w:customStyle="1" w:styleId="17">
    <w:name w:val="percentage1"/>
    <w:basedOn w:val="6"/>
    <w:qFormat/>
    <w:uiPriority w:val="0"/>
  </w:style>
  <w:style w:type="character" w:customStyle="1" w:styleId="18">
    <w:name w:val="percentage2"/>
    <w:basedOn w:val="6"/>
    <w:qFormat/>
    <w:uiPriority w:val="0"/>
  </w:style>
  <w:style w:type="character" w:customStyle="1" w:styleId="19">
    <w:name w:val="percentage3"/>
    <w:basedOn w:val="6"/>
    <w:qFormat/>
    <w:uiPriority w:val="0"/>
  </w:style>
  <w:style w:type="character" w:customStyle="1" w:styleId="20">
    <w:name w:val="text"/>
    <w:basedOn w:val="6"/>
    <w:qFormat/>
    <w:uiPriority w:val="0"/>
  </w:style>
  <w:style w:type="character" w:customStyle="1" w:styleId="21">
    <w:name w:val="text1"/>
    <w:basedOn w:val="6"/>
    <w:qFormat/>
    <w:uiPriority w:val="0"/>
  </w:style>
  <w:style w:type="character" w:customStyle="1" w:styleId="22">
    <w:name w:val="text2"/>
    <w:basedOn w:val="6"/>
    <w:qFormat/>
    <w:uiPriority w:val="0"/>
  </w:style>
  <w:style w:type="character" w:customStyle="1" w:styleId="23">
    <w:name w:val="text3"/>
    <w:basedOn w:val="6"/>
    <w:qFormat/>
    <w:uiPriority w:val="0"/>
  </w:style>
  <w:style w:type="character" w:customStyle="1" w:styleId="24">
    <w:name w:val="highlight"/>
    <w:basedOn w:val="6"/>
    <w:qFormat/>
    <w:uiPriority w:val="0"/>
    <w:rPr>
      <w:b/>
      <w:color w:val="FF6600"/>
    </w:rPr>
  </w:style>
  <w:style w:type="character" w:customStyle="1" w:styleId="25">
    <w:name w:val="highlight1"/>
    <w:basedOn w:val="6"/>
    <w:qFormat/>
    <w:uiPriority w:val="0"/>
    <w:rPr>
      <w:color w:val="FFFF00"/>
    </w:rPr>
  </w:style>
  <w:style w:type="character" w:customStyle="1" w:styleId="26">
    <w:name w:val="button"/>
    <w:basedOn w:val="6"/>
    <w:qFormat/>
    <w:uiPriority w:val="0"/>
  </w:style>
  <w:style w:type="character" w:customStyle="1" w:styleId="27">
    <w:name w:val="tmpztreemove_arrow"/>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611</Words>
  <Characters>3488</Characters>
  <Lines>29</Lines>
  <Paragraphs>8</Paragraphs>
  <TotalTime>1</TotalTime>
  <ScaleCrop>false</ScaleCrop>
  <LinksUpToDate>false</LinksUpToDate>
  <CharactersWithSpaces>4091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2020-01-16T12:22:00Z</dcterms:created>
  <dc:creator>aad dd</dc:creator>
  <cp:lastModifiedBy>user</cp:lastModifiedBy>
  <cp:lastPrinted>2020-01-16T09:14:00Z</cp:lastPrinted>
  <dcterms:modified xsi:type="dcterms:W3CDTF">2025-02-13T16:04:47Z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2B5F5094D47FE44D9FA7AD673D32EC3A</vt:lpwstr>
  </property>
</Properties>
</file>